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4138D5FE">
                <wp:simplePos x="0" y="0"/>
                <wp:positionH relativeFrom="margin">
                  <wp:posOffset>2275205</wp:posOffset>
                </wp:positionH>
                <wp:positionV relativeFrom="paragraph">
                  <wp:posOffset>3810</wp:posOffset>
                </wp:positionV>
                <wp:extent cx="3364865" cy="2346325"/>
                <wp:effectExtent l="0" t="0" r="698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234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70A939E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0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E13D8E" w14:textId="79A327ED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2E5A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8A7B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3213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16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384588" w14:textId="5AFDFFF9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E6E37" w:rsidRPr="00EE6E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D2605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Jesús Iván Macías González, en su calidad de militante del PAN</w:t>
                            </w:r>
                            <w:r w:rsidR="00EE6E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4E14A6" w14:textId="1F257AC9" w:rsidR="00BC7644" w:rsidRPr="00EE6E37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</w:t>
                            </w:r>
                            <w:r w:rsidR="009173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732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Comité Ejecutivo Nacional; Comité Directivo Estatal; Comisión Permanente Nacional; y </w:t>
                            </w:r>
                            <w:r w:rsidR="00D2605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Comisión Permanente Estatal</w:t>
                            </w:r>
                            <w:r w:rsidR="0091732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, todas del </w:t>
                            </w:r>
                            <w:r w:rsidR="00D2605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91732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artido </w:t>
                            </w:r>
                            <w:r w:rsidR="00D2605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91732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cción </w:t>
                            </w:r>
                            <w:r w:rsidR="00D2605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="0091732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acional</w:t>
                            </w:r>
                            <w:r w:rsidR="0027209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79.15pt;margin-top:.3pt;width:264.95pt;height:1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" stroked="f">
                <v:textbox>
                  <w:txbxContent>
                    <w:p w14:paraId="1DA02CBE" w14:textId="670A939E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70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E13D8E" w14:textId="79A327ED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2E5AEC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8A7BD1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3213D2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1637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C384588" w14:textId="5AFDFFF9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EE6E37" w:rsidRPr="00EE6E3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C. </w:t>
                      </w:r>
                      <w:r w:rsidR="00D2605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Jesús Iván Macías González, en su calidad de militante del PAN</w:t>
                      </w:r>
                      <w:r w:rsidR="00EE6E3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84E14A6" w14:textId="1F257AC9" w:rsidR="00BC7644" w:rsidRPr="00EE6E37" w:rsidRDefault="00BC7644" w:rsidP="00BC7644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</w:t>
                      </w:r>
                      <w:r w:rsidR="0091732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1732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Comité Ejecutivo Nacional; Comité Directivo Estatal; Comisión Permanente Nacional; y </w:t>
                      </w:r>
                      <w:r w:rsidR="00D2605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Comisión Permanente Estatal</w:t>
                      </w:r>
                      <w:r w:rsidR="0091732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, todas del </w:t>
                      </w:r>
                      <w:r w:rsidR="00D2605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P</w:t>
                      </w:r>
                      <w:r w:rsidR="0091732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artido </w:t>
                      </w:r>
                      <w:r w:rsidR="00D2605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A</w:t>
                      </w:r>
                      <w:r w:rsidR="0091732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cción </w:t>
                      </w:r>
                      <w:r w:rsidR="00D2605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N</w:t>
                      </w:r>
                      <w:r w:rsidR="0091732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acional</w:t>
                      </w:r>
                      <w:r w:rsidR="0027209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5E3D13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79BF7B5" w14:textId="77777777" w:rsidR="00EE6E37" w:rsidRDefault="00EE6E3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8ECA1AB" w14:textId="77777777" w:rsidR="0091732A" w:rsidRDefault="0091732A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EE2BAEB" w14:textId="0444A7F9" w:rsidR="00BC7644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1372A8" w:rsidRPr="00417A26">
        <w:rPr>
          <w:rFonts w:ascii="Arial" w:eastAsia="Times New Roman" w:hAnsi="Arial" w:cs="Arial"/>
          <w:bCs/>
          <w:sz w:val="24"/>
          <w:szCs w:val="24"/>
          <w:lang w:eastAsia="es-MX"/>
        </w:rPr>
        <w:t>TEEA-OP-</w:t>
      </w:r>
      <w:r w:rsidR="0027209C">
        <w:rPr>
          <w:rFonts w:ascii="Arial" w:eastAsia="Times New Roman" w:hAnsi="Arial" w:cs="Arial"/>
          <w:bCs/>
          <w:sz w:val="24"/>
          <w:szCs w:val="24"/>
          <w:lang w:eastAsia="es-MX"/>
        </w:rPr>
        <w:t>65</w:t>
      </w:r>
      <w:r w:rsidR="00D2605C">
        <w:rPr>
          <w:rFonts w:ascii="Arial" w:eastAsia="Times New Roman" w:hAnsi="Arial" w:cs="Arial"/>
          <w:bCs/>
          <w:sz w:val="24"/>
          <w:szCs w:val="24"/>
          <w:lang w:eastAsia="es-MX"/>
        </w:rPr>
        <w:t>9</w:t>
      </w:r>
      <w:r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1372A8"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="001372A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fecha </w:t>
      </w:r>
      <w:r w:rsidR="0027209C">
        <w:rPr>
          <w:rFonts w:ascii="Arial" w:eastAsia="Times New Roman" w:hAnsi="Arial" w:cs="Arial"/>
          <w:bCs/>
          <w:sz w:val="24"/>
          <w:szCs w:val="24"/>
          <w:lang w:eastAsia="es-MX"/>
        </w:rPr>
        <w:t>veinte</w:t>
      </w:r>
      <w:r w:rsidR="005731F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mayo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BC7644" w:rsidRPr="0091732A" w14:paraId="398890A8" w14:textId="77777777" w:rsidTr="005F4ADF">
        <w:tc>
          <w:tcPr>
            <w:tcW w:w="3397" w:type="dxa"/>
          </w:tcPr>
          <w:p w14:paraId="0B29B8CB" w14:textId="77777777" w:rsidR="00BC7644" w:rsidRPr="0091732A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91732A">
              <w:rPr>
                <w:rFonts w:ascii="Arial" w:eastAsia="Times New Roman" w:hAnsi="Arial" w:cs="Arial"/>
                <w:b/>
                <w:lang w:eastAsia="es-MX"/>
              </w:rPr>
              <w:t>Documentación recibida</w:t>
            </w:r>
          </w:p>
        </w:tc>
        <w:tc>
          <w:tcPr>
            <w:tcW w:w="5431" w:type="dxa"/>
          </w:tcPr>
          <w:p w14:paraId="5AA2FB1E" w14:textId="77777777" w:rsidR="00BC7644" w:rsidRPr="0091732A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91732A">
              <w:rPr>
                <w:rFonts w:ascii="Arial" w:eastAsia="Times New Roman" w:hAnsi="Arial" w:cs="Arial"/>
                <w:b/>
                <w:lang w:eastAsia="es-MX"/>
              </w:rPr>
              <w:t>Acto impugnado</w:t>
            </w:r>
          </w:p>
        </w:tc>
      </w:tr>
      <w:tr w:rsidR="00BC7644" w:rsidRPr="0091732A" w14:paraId="6523D26B" w14:textId="77777777" w:rsidTr="005F4ADF">
        <w:tc>
          <w:tcPr>
            <w:tcW w:w="3397" w:type="dxa"/>
          </w:tcPr>
          <w:p w14:paraId="47223FF1" w14:textId="79018FBE" w:rsidR="00BC7644" w:rsidRPr="0091732A" w:rsidRDefault="003302AC" w:rsidP="001372A8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91732A">
              <w:rPr>
                <w:rFonts w:ascii="Arial" w:eastAsia="Times New Roman" w:hAnsi="Arial" w:cs="Arial"/>
                <w:lang w:eastAsia="es-MX"/>
              </w:rPr>
              <w:t xml:space="preserve">Escrito que contiene un juicio de la ciudadanía, </w:t>
            </w:r>
            <w:r w:rsidR="00750844" w:rsidRPr="0091732A">
              <w:rPr>
                <w:rFonts w:ascii="Arial" w:eastAsia="Times New Roman" w:hAnsi="Arial" w:cs="Arial"/>
                <w:lang w:eastAsia="es-MX"/>
              </w:rPr>
              <w:t xml:space="preserve">suscrito por el promovente al rubro indicado, presentado directamente ante esta autoridad. </w:t>
            </w:r>
          </w:p>
        </w:tc>
        <w:tc>
          <w:tcPr>
            <w:tcW w:w="5431" w:type="dxa"/>
          </w:tcPr>
          <w:p w14:paraId="07FBE243" w14:textId="41BE073D" w:rsidR="00BC7644" w:rsidRPr="0091732A" w:rsidRDefault="00D2605C" w:rsidP="00D50D5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eastAsia="es-MX"/>
              </w:rPr>
            </w:pPr>
            <w:r w:rsidRPr="0091732A">
              <w:rPr>
                <w:rFonts w:ascii="Arial" w:eastAsia="Times New Roman" w:hAnsi="Arial" w:cs="Arial"/>
                <w:bCs/>
                <w:lang w:eastAsia="es-MX"/>
              </w:rPr>
              <w:t xml:space="preserve">Providencias SG/354/2021; </w:t>
            </w:r>
            <w:r w:rsidRPr="0091732A">
              <w:rPr>
                <w:rFonts w:ascii="Arial" w:eastAsia="Times New Roman" w:hAnsi="Arial" w:cs="Arial"/>
                <w:bCs/>
                <w:lang w:eastAsia="es-MX"/>
              </w:rPr>
              <w:t>SG/355/2021</w:t>
            </w:r>
            <w:r w:rsidRPr="0091732A">
              <w:rPr>
                <w:rFonts w:ascii="Arial" w:eastAsia="Times New Roman" w:hAnsi="Arial" w:cs="Arial"/>
                <w:bCs/>
                <w:lang w:eastAsia="es-MX"/>
              </w:rPr>
              <w:t xml:space="preserve">; </w:t>
            </w:r>
            <w:r w:rsidRPr="0091732A">
              <w:rPr>
                <w:rFonts w:ascii="Arial" w:eastAsia="Times New Roman" w:hAnsi="Arial" w:cs="Arial"/>
                <w:bCs/>
                <w:lang w:eastAsia="es-MX"/>
              </w:rPr>
              <w:t>SG/35</w:t>
            </w:r>
            <w:r w:rsidRPr="0091732A">
              <w:rPr>
                <w:rFonts w:ascii="Arial" w:eastAsia="Times New Roman" w:hAnsi="Arial" w:cs="Arial"/>
                <w:bCs/>
                <w:lang w:eastAsia="es-MX"/>
              </w:rPr>
              <w:t>7</w:t>
            </w:r>
            <w:r w:rsidRPr="0091732A">
              <w:rPr>
                <w:rFonts w:ascii="Arial" w:eastAsia="Times New Roman" w:hAnsi="Arial" w:cs="Arial"/>
                <w:bCs/>
                <w:lang w:eastAsia="es-MX"/>
              </w:rPr>
              <w:t>/2021</w:t>
            </w:r>
            <w:r w:rsidRPr="0091732A">
              <w:rPr>
                <w:rFonts w:ascii="Arial" w:eastAsia="Times New Roman" w:hAnsi="Arial" w:cs="Arial"/>
                <w:bCs/>
                <w:lang w:eastAsia="es-MX"/>
              </w:rPr>
              <w:t xml:space="preserve">; así como el acta de sesión extraordinaria No. 005/CPE/2021; por lo que designa las candidaturas de Luis Enrique García López y Francisco Sánchez Esparza, candidatos a diputados propietario y suplente, respectivamente, por el distrito electoral local XIV. </w:t>
            </w:r>
          </w:p>
        </w:tc>
      </w:tr>
    </w:tbl>
    <w:p w14:paraId="36A1C52B" w14:textId="77777777" w:rsidR="00270BFD" w:rsidRDefault="00270BFD" w:rsidP="00270BFD">
      <w:pPr>
        <w:pStyle w:val="Sinespaciado"/>
        <w:rPr>
          <w:lang w:eastAsia="es-MX"/>
        </w:rPr>
      </w:pPr>
    </w:p>
    <w:p w14:paraId="4B6F84D8" w14:textId="4D8B3AEA" w:rsidR="00BC7644" w:rsidRPr="00796B37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8D02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veintiuno</w:t>
      </w:r>
      <w:r w:rsidR="00774A0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mayo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10482C16" w14:textId="0C6D66D3" w:rsidR="00BC7644" w:rsidRDefault="00BC7644" w:rsidP="00BC76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3BD004C2" w14:textId="56EECFB7" w:rsidR="00BC7644" w:rsidRPr="00FF2ACE" w:rsidRDefault="00BC7644" w:rsidP="00BC764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Integración de expediente.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se ordena integrar el expediente respectivo y registrarlo en el libro de gobierno con la clave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</w:t>
      </w:r>
      <w:r w:rsidR="008D02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12</w:t>
      </w:r>
      <w:r w:rsidR="00D2605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52EACFE" w14:textId="3F51D7A6" w:rsidR="00E72D51" w:rsidRDefault="00E72D51" w:rsidP="00E72D51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>SEGUNDO. Turno</w:t>
      </w:r>
      <w:r w:rsidR="002A3B51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 xml:space="preserve">Para los efectos previstos en los artículos 357, fracción VIII, inciso e), del Código Electoral; 101 y 102, del Reglamento Interior del Tribunal 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lastRenderedPageBreak/>
        <w:t>Electoral del Estado de Aguascalientes, túrnese los autos a la Ponencia de</w:t>
      </w:r>
      <w:r w:rsidR="005F4ADF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5F4ADF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5F4ADF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Héctor Salvador Hernández Gallegos</w:t>
      </w:r>
      <w:r w:rsidR="003302A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E2E2787" w14:textId="467219B9" w:rsidR="008D1D68" w:rsidRDefault="008D1D68" w:rsidP="00E72D51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TERCERO</w:t>
      </w:r>
      <w:r w:rsidRPr="005C593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5C5936">
        <w:rPr>
          <w:rFonts w:ascii="Arial" w:eastAsia="Times New Roman" w:hAnsi="Arial" w:cs="Arial"/>
          <w:b/>
          <w:sz w:val="24"/>
          <w:szCs w:val="24"/>
          <w:lang w:eastAsia="es-MX"/>
        </w:rPr>
        <w:t>Remisión de demanda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Pr="00C9057A">
        <w:rPr>
          <w:rFonts w:ascii="Arial" w:eastAsia="Times New Roman" w:hAnsi="Arial" w:cs="Arial"/>
          <w:sz w:val="24"/>
          <w:szCs w:val="24"/>
          <w:lang w:eastAsia="es-MX"/>
        </w:rPr>
        <w:t xml:space="preserve">Para los efectos previstos en los artículos 311 y 312, del Código Electoral de esta entidad, así como lo establecido en el artículo 104, del Reglamento Interior de este Tribunal, remítase de inmediato </w:t>
      </w:r>
      <w:r w:rsidR="0091732A">
        <w:rPr>
          <w:rFonts w:ascii="Arial" w:eastAsia="Times New Roman" w:hAnsi="Arial" w:cs="Arial"/>
          <w:sz w:val="24"/>
          <w:szCs w:val="24"/>
          <w:lang w:eastAsia="es-MX"/>
        </w:rPr>
        <w:t xml:space="preserve">a las autoridades señalas como responsables con </w:t>
      </w:r>
      <w:r w:rsidRPr="00C9057A">
        <w:rPr>
          <w:rFonts w:ascii="Arial" w:eastAsia="Times New Roman" w:hAnsi="Arial" w:cs="Arial"/>
          <w:sz w:val="24"/>
          <w:szCs w:val="24"/>
          <w:lang w:eastAsia="es-MX"/>
        </w:rPr>
        <w:t>copia certificada del escrito que contiene el medio de impugnación, recibido por Oficialía de Partes de este Tribunal, para que, a partir de que le</w:t>
      </w:r>
      <w:r w:rsidR="0091732A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C9057A">
        <w:rPr>
          <w:rFonts w:ascii="Arial" w:eastAsia="Times New Roman" w:hAnsi="Arial" w:cs="Arial"/>
          <w:sz w:val="24"/>
          <w:szCs w:val="24"/>
          <w:lang w:eastAsia="es-MX"/>
        </w:rPr>
        <w:t xml:space="preserve"> sea notificado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91732A">
        <w:rPr>
          <w:rFonts w:ascii="Arial" w:eastAsia="Times New Roman" w:hAnsi="Arial" w:cs="Arial"/>
          <w:sz w:val="24"/>
          <w:szCs w:val="24"/>
          <w:lang w:eastAsia="es-MX"/>
        </w:rPr>
        <w:t>por correo electrónico</w:t>
      </w:r>
      <w:r w:rsidRPr="00C9057A">
        <w:rPr>
          <w:rFonts w:ascii="Arial" w:eastAsia="Times New Roman" w:hAnsi="Arial" w:cs="Arial"/>
          <w:sz w:val="24"/>
          <w:szCs w:val="24"/>
          <w:lang w:eastAsia="es-MX"/>
        </w:rPr>
        <w:t xml:space="preserve"> el presente proveído, de inmediato </w:t>
      </w:r>
      <w:r w:rsidR="0091732A" w:rsidRPr="00C9057A">
        <w:rPr>
          <w:rFonts w:ascii="Arial" w:eastAsia="Times New Roman" w:hAnsi="Arial" w:cs="Arial"/>
          <w:sz w:val="24"/>
          <w:szCs w:val="24"/>
          <w:lang w:eastAsia="es-MX"/>
        </w:rPr>
        <w:t>de</w:t>
      </w:r>
      <w:r w:rsidR="0091732A">
        <w:rPr>
          <w:rFonts w:ascii="Arial" w:eastAsia="Times New Roman" w:hAnsi="Arial" w:cs="Arial"/>
          <w:sz w:val="24"/>
          <w:szCs w:val="24"/>
          <w:lang w:eastAsia="es-MX"/>
        </w:rPr>
        <w:t>n</w:t>
      </w:r>
      <w:r w:rsidRPr="00C9057A">
        <w:rPr>
          <w:rFonts w:ascii="Arial" w:eastAsia="Times New Roman" w:hAnsi="Arial" w:cs="Arial"/>
          <w:sz w:val="24"/>
          <w:szCs w:val="24"/>
          <w:lang w:eastAsia="es-MX"/>
        </w:rPr>
        <w:t xml:space="preserve"> el trámite correspondiente a la demanda</w:t>
      </w:r>
      <w:r w:rsidR="0091732A">
        <w:rPr>
          <w:rFonts w:ascii="Arial" w:eastAsia="Times New Roman" w:hAnsi="Arial" w:cs="Arial"/>
          <w:sz w:val="24"/>
          <w:szCs w:val="24"/>
          <w:lang w:eastAsia="es-MX"/>
        </w:rPr>
        <w:t>, sin que sea necesario esperar al envío físico de las constancias, debido a la urgencia para la resolución del presente asunto.</w:t>
      </w:r>
    </w:p>
    <w:p w14:paraId="64CBC679" w14:textId="7E10E7B8" w:rsidR="0091732A" w:rsidRPr="0091732A" w:rsidRDefault="0091732A" w:rsidP="00E72D51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CUARTO</w:t>
      </w:r>
      <w:r w:rsidRPr="005C593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Apercibimiento. 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>Se apercibe a la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s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autoridad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es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señalada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s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como responsable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s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para que, en el caso que no d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cumplimiento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inmediato 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>al requerimiento en los términos señalados, se le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s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aplicará alguna de las medidas de apremio a que se refiere el artículo 328 del Código Electoral de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Estado.  </w:t>
      </w:r>
    </w:p>
    <w:p w14:paraId="396BE089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436356C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EAC4B92" w14:textId="77777777" w:rsidR="00BC7644" w:rsidRPr="00796B37" w:rsidRDefault="00BC7644" w:rsidP="00BC7644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2DC09FC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7802C2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4D0E89C4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C8145F" w14:textId="77777777" w:rsidR="00BC7644" w:rsidRPr="00896D3D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1B74263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1EBD6A3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CA2755A" w14:textId="3C765AEC" w:rsidR="00BC7644" w:rsidRDefault="00BC7644" w:rsidP="0091732A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1F7CB465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F392194" w14:textId="3EF351A0" w:rsidR="002046AC" w:rsidRPr="0091732A" w:rsidRDefault="00BC7644" w:rsidP="0091732A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sectPr w:rsidR="002046AC" w:rsidRPr="0091732A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09B6" w14:textId="77777777" w:rsidR="00F71849" w:rsidRDefault="003213D2">
    <w:pPr>
      <w:pStyle w:val="Piedepgina"/>
      <w:jc w:val="right"/>
    </w:pPr>
  </w:p>
  <w:p w14:paraId="6F882EB5" w14:textId="77777777" w:rsidR="00F71849" w:rsidRDefault="003213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3213D2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3213D2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4ABBC2F2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</w:t>
    </w:r>
    <w:r w:rsidR="00F816BE">
      <w:rPr>
        <w:rFonts w:ascii="Century Gothic" w:hAnsi="Century Gothic"/>
        <w:b/>
      </w:rPr>
      <w:t xml:space="preserve"> </w:t>
    </w:r>
    <w:r w:rsidR="00D2605C">
      <w:rPr>
        <w:rFonts w:ascii="Century Gothic" w:hAnsi="Century Gothic"/>
        <w:b/>
      </w:rPr>
      <w:t xml:space="preserve">y requerimiento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3213D2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3213D2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3213D2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3213D2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0F7DA3"/>
    <w:rsid w:val="001372A8"/>
    <w:rsid w:val="002046AC"/>
    <w:rsid w:val="00233C53"/>
    <w:rsid w:val="00270BFD"/>
    <w:rsid w:val="0027209C"/>
    <w:rsid w:val="002A3B51"/>
    <w:rsid w:val="002E5AEC"/>
    <w:rsid w:val="003213D2"/>
    <w:rsid w:val="003302AC"/>
    <w:rsid w:val="003A1D5F"/>
    <w:rsid w:val="003F5D93"/>
    <w:rsid w:val="00417A26"/>
    <w:rsid w:val="00563127"/>
    <w:rsid w:val="005731FC"/>
    <w:rsid w:val="005A2705"/>
    <w:rsid w:val="005F4ADF"/>
    <w:rsid w:val="006C1917"/>
    <w:rsid w:val="00750844"/>
    <w:rsid w:val="00774A0D"/>
    <w:rsid w:val="008A7BD1"/>
    <w:rsid w:val="008D0202"/>
    <w:rsid w:val="008D1D68"/>
    <w:rsid w:val="0091732A"/>
    <w:rsid w:val="009174F9"/>
    <w:rsid w:val="00937A8F"/>
    <w:rsid w:val="0096277D"/>
    <w:rsid w:val="00A070CA"/>
    <w:rsid w:val="00A16373"/>
    <w:rsid w:val="00A515EA"/>
    <w:rsid w:val="00A56431"/>
    <w:rsid w:val="00AD399C"/>
    <w:rsid w:val="00BC7644"/>
    <w:rsid w:val="00BE066B"/>
    <w:rsid w:val="00D2605C"/>
    <w:rsid w:val="00D45568"/>
    <w:rsid w:val="00E72D51"/>
    <w:rsid w:val="00E977CE"/>
    <w:rsid w:val="00ED6020"/>
    <w:rsid w:val="00EE6E37"/>
    <w:rsid w:val="00F113AA"/>
    <w:rsid w:val="00F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5</cp:revision>
  <cp:lastPrinted>2021-05-21T19:46:00Z</cp:lastPrinted>
  <dcterms:created xsi:type="dcterms:W3CDTF">2021-05-21T17:50:00Z</dcterms:created>
  <dcterms:modified xsi:type="dcterms:W3CDTF">2021-05-21T19:48:00Z</dcterms:modified>
</cp:coreProperties>
</file>